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централизованной бухгалтерии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2110D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2110DE">
        <w:rPr>
          <w:sz w:val="28"/>
          <w:szCs w:val="28"/>
        </w:rPr>
        <w:t>11 октября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2110DE">
        <w:rPr>
          <w:sz w:val="28"/>
          <w:szCs w:val="28"/>
        </w:rPr>
        <w:t>18 октября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2110DE">
        <w:rPr>
          <w:rFonts w:ascii="Times New Roman" w:hAnsi="Times New Roman" w:cs="Times New Roman"/>
          <w:sz w:val="28"/>
          <w:szCs w:val="28"/>
        </w:rPr>
        <w:t>22 октября 2024</w:t>
      </w:r>
      <w:bookmarkStart w:id="1" w:name="_GoBack"/>
      <w:bookmarkEnd w:id="1"/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110DE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10DE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809DD-AFD5-4024-ACA2-5BE4DCD03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6188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6887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2</cp:revision>
  <cp:lastPrinted>2023-05-22T13:13:00Z</cp:lastPrinted>
  <dcterms:created xsi:type="dcterms:W3CDTF">2024-10-10T14:06:00Z</dcterms:created>
  <dcterms:modified xsi:type="dcterms:W3CDTF">2024-10-10T14:06:00Z</dcterms:modified>
</cp:coreProperties>
</file>